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  <w:t xml:space="preserve"> Track 2: Outcomes and Timeline Example 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075"/>
        <w:gridCol w:w="4155"/>
        <w:gridCol w:w="2190"/>
        <w:tblGridChange w:id="0">
          <w:tblGrid>
            <w:gridCol w:w="3075"/>
            <w:gridCol w:w="4155"/>
            <w:gridCol w:w="2190"/>
          </w:tblGrid>
        </w:tblGridChange>
      </w:tblGrid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26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Measurable Project Outcomes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ind w:left="26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Project Activities (what specific steps will be taken to meet the outcome)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26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Anticipated Completion Date (MM/YYYY)</w:t>
            </w:r>
          </w:p>
        </w:tc>
      </w:tr>
      <w:tr>
        <w:trPr>
          <w:cantSplit w:val="0"/>
          <w:trHeight w:val="938.7011718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b w:val="1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Complete new irrigation system for ½ acre community garden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Develop irrigation plan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February 2025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Purchase Irrigation Supplies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March 2025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Install irrigation system with volunteers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May 2025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Project complete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May 2025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b w:val="1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Install hoop house for longer planting season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Solicit quotes for hoop house structure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April 2025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Purchase hoop house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May 2025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Install hoop house with volunteers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July 2025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Project Complete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b w:val="1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Engage Community Members with hands-on build days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Promote irrigation installation day event through social media and flyers, connect with community partners to advertise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April 2025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Promote hoop house installation day event through social media and flyers, connect with community partners to advertise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June 2025</w:t>
            </w:r>
          </w:p>
        </w:tc>
      </w:tr>
    </w:tbl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